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AEA96" w14:textId="169283A7" w:rsidR="004028A0" w:rsidRDefault="004028A0">
      <w:pPr>
        <w:jc w:val="both"/>
        <w:rPr>
          <w:b/>
        </w:rPr>
      </w:pPr>
      <w:bookmarkStart w:id="0" w:name="_GoBack"/>
      <w:r>
        <w:rPr>
          <w:b/>
        </w:rPr>
        <w:t>GÜNDEM DEĞERLENDİRMESİ- 8 EYLÜL 2025</w:t>
      </w:r>
    </w:p>
    <w:bookmarkEnd w:id="0"/>
    <w:p w14:paraId="0A053413" w14:textId="77777777" w:rsidR="004028A0" w:rsidRDefault="004028A0">
      <w:pPr>
        <w:jc w:val="both"/>
        <w:rPr>
          <w:b/>
        </w:rPr>
      </w:pPr>
    </w:p>
    <w:p w14:paraId="00000001" w14:textId="49562CE5" w:rsidR="008A178D" w:rsidRDefault="001C7F90">
      <w:pPr>
        <w:jc w:val="both"/>
        <w:rPr>
          <w:b/>
        </w:rPr>
      </w:pPr>
      <w:r>
        <w:rPr>
          <w:b/>
        </w:rPr>
        <w:t>TAPU HARÇLARINA MALİYE TAKİBİ</w:t>
      </w:r>
    </w:p>
    <w:p w14:paraId="00000002" w14:textId="77777777" w:rsidR="008A178D" w:rsidRDefault="001C7F90">
      <w:pPr>
        <w:jc w:val="both"/>
        <w:rPr>
          <w:highlight w:val="yellow"/>
        </w:rPr>
      </w:pPr>
      <w:r>
        <w:t xml:space="preserve">Son aylarda Hazine ve Maliye Bakanlığı tarafından uygulamaya konan MEVA (Mekânsal Veri Analizi) sistemiyle on binlerce insana tapu harçlarını gerçek dışı beyan ettikleri gerekçesiyle ek ödemeyle beraber cezai işlem uygulandı. MEVA uygulamasını öncelikli görev kabul eden maliye müdürlükleri, vatandaşın tapu işlemlerini adeta birer hafiye gibi takip etmektedir. </w:t>
      </w:r>
    </w:p>
    <w:p w14:paraId="00000003" w14:textId="77777777" w:rsidR="008A178D" w:rsidRDefault="001C7F90">
      <w:pPr>
        <w:jc w:val="both"/>
      </w:pPr>
      <w:r>
        <w:t>Uygulamada, satışı yapılan gayrimenkulün rayiç bedeli, ilgili belediye tarafından belirlenmekte ve bu bedele göre %4 oranında tapu harcı ve ayrıca döner sermaye harcı alınmaktadır. Bir gayrimenkulün birkaç defa el değiştirmesi halinde Maliye Hazinesi adeta gayrimenkulün ortağı durumuna geçmektedir.</w:t>
      </w:r>
      <w:r>
        <w:rPr>
          <w:sz w:val="24"/>
          <w:szCs w:val="24"/>
        </w:rPr>
        <w:t xml:space="preserve"> </w:t>
      </w:r>
      <w:r>
        <w:t xml:space="preserve">Tüm bunlara rağmen Bakanlık, belediyelerin belirlediği rayiç bedelleri yeterli görmemekte ve </w:t>
      </w:r>
      <w:proofErr w:type="spellStart"/>
      <w:r>
        <w:t>re’sen</w:t>
      </w:r>
      <w:proofErr w:type="spellEnd"/>
      <w:r>
        <w:t xml:space="preserve"> ek ödeme tahakkuk ettirmektedir. Maliye ile karşı karşıya gelmek istemeyen vatandaşlar ise cezai yaptırımlardan çekinerek bu ek ödemeleri sorgulamadan yapmaktadır.</w:t>
      </w:r>
    </w:p>
    <w:p w14:paraId="00000004" w14:textId="77777777" w:rsidR="008A178D" w:rsidRDefault="001C7F90">
      <w:pPr>
        <w:jc w:val="both"/>
      </w:pPr>
      <w:r>
        <w:t>Ancak burada önemli bir çelişki söz konusudur: Rayiç bedeller, kamu kurumu olan belediyelerce belirlenmekte ve tapu müdürlükleri de bu resmî belgelere dayanarak işlem yapmaktadır. Dolayısıyla tapu harçları, kişisel beyana göre değil, kamu idaresince tanzim edilmiş resmî evraka dayalı olarak tahakkuk etmektedir.</w:t>
      </w:r>
    </w:p>
    <w:p w14:paraId="00000005" w14:textId="06543B05" w:rsidR="008A178D" w:rsidRDefault="001C7F90">
      <w:pPr>
        <w:jc w:val="both"/>
      </w:pPr>
      <w:r>
        <w:t>Hazine ve</w:t>
      </w:r>
      <w:r w:rsidR="000009DF">
        <w:t xml:space="preserve"> Maliye Bakanlığı</w:t>
      </w:r>
      <w:r>
        <w:t>nın belediye tarafından tespit edilen bu rayiç bedelleri yeterli görmeyip cezai işlem uygulaması, belediyelerin yetki alanını yok saymakta ve kamu kurumları arasındaki görev paylaşımına zarar vermektedir. Bu yaklaşım, uygulamada ciddi bir belirsizliğe de yol açmaktadır. Belediyelerin belirlediği rayiç bedellerin yeterli görülmemesi durumunda, işlemlerde esas alınacak objektif değerin neye göre ve kim tarafından belirleneceği sorusu cevapsız kalmaktadır. Bu nedenle, Hazine ve Maliye Bakanlığını belediyeler tarafından belirlenen rayiç bedellere dayanılarak ödenen tapu harçları için cezai işlem uygulamaktan vazgeçmeye, hâlihazırda yüksek olan tapu harcı oranını %4’ten %2’ye düşürmeye davet ediyoruz.</w:t>
      </w:r>
    </w:p>
    <w:p w14:paraId="00000008" w14:textId="3424D0BA" w:rsidR="008A178D" w:rsidRDefault="008A178D">
      <w:pPr>
        <w:jc w:val="both"/>
      </w:pPr>
    </w:p>
    <w:p w14:paraId="00000009" w14:textId="77777777" w:rsidR="008A178D" w:rsidRDefault="001C7F90">
      <w:pPr>
        <w:jc w:val="both"/>
        <w:rPr>
          <w:b/>
        </w:rPr>
      </w:pPr>
      <w:r>
        <w:rPr>
          <w:b/>
        </w:rPr>
        <w:t>GENÇLER ARASINDA ARTAN GAYRİMEŞRU HAYAT BİÇİMİ VE CİNAYETLER</w:t>
      </w:r>
    </w:p>
    <w:p w14:paraId="0000000A" w14:textId="77777777" w:rsidR="008A178D" w:rsidRDefault="001C7F90">
      <w:pPr>
        <w:jc w:val="both"/>
      </w:pPr>
      <w:r>
        <w:t xml:space="preserve">Toplumu ayakta tutan kültürel ve manevi değerlerin aleyhine yapılan çalışmalar, özellikle çocuklar ve gençler arasında ahlakî yozlaşmayı hızlandırmaktadır. Aile kurumuna zarar veren politikalar ailenin, fertlerini dış etkenlerden koruma görevini gün geçtikçe zayıflatmaktadır. </w:t>
      </w:r>
    </w:p>
    <w:p w14:paraId="0000000B" w14:textId="77777777" w:rsidR="008A178D" w:rsidRDefault="001C7F90">
      <w:pPr>
        <w:jc w:val="both"/>
      </w:pPr>
      <w:r>
        <w:t>Özellikle ebeveynlerin, nice emek ve özveriyle büyüttükleri çocuklarını koruma ve yönlendirme hakkını elinden alan düzenlemeler, iyiyi kötüyü ayırt edemeyen çocukları savunmasız hale getirmektedir. Evlerde yaşanan otorite boşluğu ile birlikte, denetimden yoksun dijital mecralarda pompalanan ahlaksızlıklar, sapkınlıklar ve gayrimeşru hayat biçimine özenti, gençliğin geleceğini karartmaktadır.</w:t>
      </w:r>
    </w:p>
    <w:p w14:paraId="0000000C" w14:textId="77777777" w:rsidR="008A178D" w:rsidRDefault="001C7F90">
      <w:pPr>
        <w:jc w:val="both"/>
      </w:pPr>
      <w:r>
        <w:t>Çocuklarımızın ve gençlerimizin gayrimeşru hayata veya bağımlılıklara sürüklenmesini izlemek, bizim kaderimiz değildir. "Bireysel özgürlükler" söylemi ile aileye yabancılaştıran, hatta düşmanlaştıran uygulamalardan vazgeçilmelidir. Dijital ortamlar denetlenmeli; çocukları ve gençleri olumsuz etkileyen, ahlakî yapıyı zedeleyen her türlü içerik engellenmelidir. Devlet, aile birliğini sağlayacak, fertleri birbirine hasım kılmayacak, anne babanın çocukları karşısında saygınlığını ve haklarını koruyacak düzenlemeler yapmalıdır. Anne babalar çocukları konusunda temkinli olmalı, onlara sevgi ve şefkat kanatlarını daha fazla germeli, özellikle küçük yaşlarda çocukların dijital ortamlara erişimini sınırlandırmalıdır.</w:t>
      </w:r>
    </w:p>
    <w:p w14:paraId="0000000D" w14:textId="0368497D" w:rsidR="008A178D" w:rsidRDefault="008A178D">
      <w:pPr>
        <w:jc w:val="both"/>
      </w:pPr>
    </w:p>
    <w:p w14:paraId="52D7F2B0" w14:textId="77777777" w:rsidR="004028A0" w:rsidRDefault="004028A0">
      <w:pPr>
        <w:jc w:val="both"/>
      </w:pPr>
    </w:p>
    <w:p w14:paraId="0000000E" w14:textId="77777777" w:rsidR="008A178D" w:rsidRDefault="001C7F90">
      <w:pPr>
        <w:jc w:val="both"/>
        <w:rPr>
          <w:b/>
          <w:highlight w:val="yellow"/>
        </w:rPr>
      </w:pPr>
      <w:r>
        <w:rPr>
          <w:b/>
        </w:rPr>
        <w:t>TAKLİT VE TAĞŞİŞ LİSTESİ, HELAL GIDA VE BOYKOT</w:t>
      </w:r>
    </w:p>
    <w:p w14:paraId="0000000F" w14:textId="7ED24A8B" w:rsidR="008A178D" w:rsidRDefault="000009DF">
      <w:pPr>
        <w:jc w:val="both"/>
      </w:pPr>
      <w:r>
        <w:t>Tarım ve Orman Bakanlığı</w:t>
      </w:r>
      <w:r w:rsidR="001C7F90">
        <w:t>nın güncellediği taklit ve tağşiş listesi, halkın sağlığını tehdit eden ürünlerin ciddi bir boyuta ulaştığını bir kez daha gözler önüne sermiştir. İçeriklerinde zararlı ve aldatıcı maddeler bulunan ürünleri piyasaya süren firmaların varlığı, yalnızca ticari bir ahlaksızlık değil; aynı zamanda doğrudan halkın sağlığına yönelik bir tehdittir.</w:t>
      </w:r>
    </w:p>
    <w:p w14:paraId="00000010" w14:textId="77777777" w:rsidR="008A178D" w:rsidRDefault="001C7F90">
      <w:pPr>
        <w:jc w:val="both"/>
      </w:pPr>
      <w:r>
        <w:t>Bazı kasapların kıyma hazırlarken başvurduğu hileler de dikkat edilmesi gereken bir başka husustur. Bu noktada denetimlerin artırılması, cezaların ise caydırıcı hale getirilmesi elzemdir. Halkın sağlığı ile oynayarak kazanç elde etmeye çalışanlara karşı devlet, denetim ve cezalandırma mekanizmalarını etkin bir şekilde işletmelidir.  Aynı şekilde vatandaş da bilinçli bir tüketici olmalı, helal ve temiz gıda hassasiyetinden asla taviz vermemelidir.</w:t>
      </w:r>
    </w:p>
    <w:p w14:paraId="00000011" w14:textId="3E38B5CF" w:rsidR="008A178D" w:rsidRDefault="001C7F90">
      <w:pPr>
        <w:jc w:val="both"/>
      </w:pPr>
      <w:r>
        <w:t>Helal gıda konusu sadece bir inanç meselesi değil, aynı zamanda güvenilir ve sağlıklı gıdaya erişimin de teminatıdır. Bu bağlamda, helal hassasiyetine dikkat edilmeyen ürünlerden uzak durmak toplum sağlığı açısından da önem taşımaktadır. Ayrıca zulüm ve işgale destek veren, küresel sömürü düzeninin bir parçası olan markaların ürünlerinin boykot edilmesi de önemli bir insanlık görevidir. Çünkü bu tür markalardan yapılan her alışveriş, zulme verilen dolaylı bir destektir. Boykot hem vicdani bir sorumluluk hem de adaletin yanında durmanın somut bir yoludur.</w:t>
      </w:r>
    </w:p>
    <w:p w14:paraId="00000012" w14:textId="77777777" w:rsidR="008A178D" w:rsidRDefault="008A178D">
      <w:pPr>
        <w:jc w:val="both"/>
      </w:pPr>
      <w:bookmarkStart w:id="1" w:name="_t3md11krbuvb" w:colFirst="0" w:colLast="0"/>
      <w:bookmarkEnd w:id="1"/>
    </w:p>
    <w:p w14:paraId="0F328369" w14:textId="77777777" w:rsidR="004028A0" w:rsidRDefault="004028A0" w:rsidP="004028A0">
      <w:pPr>
        <w:jc w:val="both"/>
        <w:rPr>
          <w:b/>
        </w:rPr>
      </w:pPr>
      <w:r>
        <w:rPr>
          <w:b/>
        </w:rPr>
        <w:t>GAZZE’DEKİ ZULÜM VE SUMUD FİLOSU</w:t>
      </w:r>
    </w:p>
    <w:p w14:paraId="1FE81BD4" w14:textId="77777777" w:rsidR="004028A0" w:rsidRDefault="004028A0" w:rsidP="004028A0">
      <w:pPr>
        <w:jc w:val="both"/>
      </w:pPr>
      <w:r>
        <w:t>Gazze halkı, 700 günü aşkın süredir tarihin en ağır kuşatma ve saldırılarından birine maruz bırakılmaktadır. Abluka, sistematik aç bırakma politikaları ve aralıksız bombardımanlar; kadın, çocuk, yaşlı demeden binlerce sivilin ölümüne yol açmıştır. Bu insanlık suçunun başlıca destekçisi olan ABD, bugün sözde “müzakere” söylemiyle dünyayı oyalarken, siyonist rejim Gazze’nin tamamını işgal etme hazırlıklarını pervasızca sürdürmektedir.</w:t>
      </w:r>
    </w:p>
    <w:p w14:paraId="26804ED6" w14:textId="77777777" w:rsidR="004028A0" w:rsidRDefault="004028A0" w:rsidP="004028A0">
      <w:pPr>
        <w:jc w:val="both"/>
      </w:pPr>
      <w:r>
        <w:t xml:space="preserve">Birleşik Arap Emirlikleri'nin, Batı Şeria'nın "ilhakına" karşı sert yaptırım tehdidinde bulunmasının ardından siyonist basında ortaya çıkan geri adım mesajları, baskının etkili olabileceğini açıkça göstermektedir. Aynı diplomatik kararlılık başta Gazze olmak üzere bölge ülkelerine yönelik saldırılar için de sergilenmelidir. </w:t>
      </w:r>
    </w:p>
    <w:p w14:paraId="235D31C6" w14:textId="77777777" w:rsidR="004028A0" w:rsidRDefault="004028A0" w:rsidP="004028A0">
      <w:pPr>
        <w:jc w:val="both"/>
      </w:pPr>
      <w:r>
        <w:t xml:space="preserve">Hükümetlerin caydırıcı ve somut adımlar atmaktan geri durmasına rağmen, 44 ülkeden vicdan sahibi aktivistler, Küresel Sumud Filosu ile Gazze ablukasını kırmak üzere tarihi bir yolculuğa çıkmıştır. Bu tarihi yolculuk, dünya vicdanının sesi ve direnişidir. Gazze’deki zulmü durdurma konusunda yeterli bir çaba ortaya koyamayan hükümetler, hiç değilse onurlu ve cesur davranan vatandaşlarını koruma sorumluluğunu yerine getirmelidir. Sivil bir insanî yardım girişimi olan Küresel Sumud Filosuna katılan </w:t>
      </w:r>
      <w:proofErr w:type="spellStart"/>
      <w:r>
        <w:t>aktivistlerin</w:t>
      </w:r>
      <w:proofErr w:type="spellEnd"/>
      <w:r>
        <w:t xml:space="preserve"> güvenliği, hükümetlerin hem hukuki hem de ahlaki yükümlülüğüdür.</w:t>
      </w:r>
    </w:p>
    <w:p w14:paraId="17915287" w14:textId="5B4C2533" w:rsidR="001C7F90" w:rsidRDefault="004028A0">
      <w:pPr>
        <w:jc w:val="both"/>
      </w:pPr>
      <w:r>
        <w:t>Tunus limanlarında yola çıkma hazırlığı yapan Sumud Filosuna ait gemiler iki kez siyonist işgal rejiminin saldırısına uğradı. Eğer filoda vatandaşları bulunan ülke yönetimleri, işgal rejimine gerekli cevabı vermez ve filoya koruma sağlamazsa işgal rejiminin sabotaj ve saldırıları devam edecektir.  Yapılan saldırılar şunu göstermiştir; filoda vatandaşları bulunan ülkeler, savaş gemileri veya sahil güvenlik unsurları ile Sumud Filosunun güvenliğini sağlamalıdır. Ayrıca filonun seyri sırasında deniz devriyesi kapsamında insansız hava araçları hava gözetimi yapılmalıdır. Filonun güzergâhı boyunca elektronik harp sistemleri devreye alınarak işgal rejiminin insansız hava araçları ve füze kilitleme sistemleri</w:t>
      </w:r>
      <w:r>
        <w:rPr>
          <w:color w:val="00B050"/>
        </w:rPr>
        <w:t xml:space="preserve"> </w:t>
      </w:r>
      <w:r>
        <w:t xml:space="preserve">etkisiz </w:t>
      </w:r>
      <w:r>
        <w:lastRenderedPageBreak/>
        <w:t>hale getirilmelidir. Aksi halde</w:t>
      </w:r>
      <w:r>
        <w:rPr>
          <w:color w:val="4472C4"/>
        </w:rPr>
        <w:t xml:space="preserve"> </w:t>
      </w:r>
      <w:r>
        <w:t xml:space="preserve">Küresel Sumud Filosuna yönelik saldırılara karşı sessiz kalanlar, bu vahşetin </w:t>
      </w:r>
      <w:r>
        <w:t>ortağı olarak tarihe geçecektir.</w:t>
      </w:r>
    </w:p>
    <w:p w14:paraId="00000019" w14:textId="77777777" w:rsidR="008A178D" w:rsidRDefault="001C7F90">
      <w:pPr>
        <w:jc w:val="both"/>
        <w:rPr>
          <w:b/>
        </w:rPr>
      </w:pPr>
      <w:r>
        <w:rPr>
          <w:b/>
        </w:rPr>
        <w:t>AFGANİSTAN HALKI YALNIZ BIRAKILMAMALI, ACİL DESTEK SAĞLANMALIDIR</w:t>
      </w:r>
    </w:p>
    <w:p w14:paraId="0000001A" w14:textId="77777777" w:rsidR="008A178D" w:rsidRDefault="001C7F90">
      <w:pPr>
        <w:jc w:val="both"/>
      </w:pPr>
      <w:r>
        <w:t>Afganistan’da meydana gelen depremde 2.000’den fazla insan vefat etti. Son büyük deprem, ülkenin doğal afetlere karşı ne denli savunmasız olduğunu bir kez daha gözler önüne sermiştir. Bu kırılganlığın başlıca sebeplerinden biri, Batı’nın hâlâ Afganistan üzerindeki ekonomik işgalini sürdürmesidir. Uygulanan yaptırımlar ve ülkeye ait mali kaynakların dondurulması, Afgan halkının temel insani ihtiyaçlara dahi ulaşmasını engellemektedir. Ne yazık ki bazı İslam ülkeleri de bu adaletsiz politikalarla paralel bir çizgide durmakta, Afganistan İslam Emirliği yönetimini tanımamakta ve halkın yaşadığı bu ağır süreçte gerekli desteği sunmamaktadır.</w:t>
      </w:r>
    </w:p>
    <w:p w14:paraId="0000001B" w14:textId="77777777" w:rsidR="008A178D" w:rsidRDefault="001C7F90">
      <w:pPr>
        <w:jc w:val="both"/>
      </w:pPr>
      <w:r>
        <w:t>Afganistan’daki insani krizin temelinde, 40 yıl süren işgal ve iç çatışmalar yatmaktadır. Bu işgalden sonra ülkeyi kalkındırmaya çalışan Afganistan İslam Emirliği, uluslararası toplum ve özellikle İslam ülkeleri tarafından güçlü biçimde desteklenmelidir. Ayrıca Afganistan’a komşu ülkeler başta olmak üzere bölge ülkeleri, depremden etkilenen halkın tedavi, geçici barınma, gıda</w:t>
      </w:r>
      <w:r>
        <w:rPr>
          <w:b/>
        </w:rPr>
        <w:t xml:space="preserve"> </w:t>
      </w:r>
      <w:r>
        <w:t>ve temel ihtiyaçları için acil yardım seferberliği başlatmalıdır.</w:t>
      </w:r>
    </w:p>
    <w:p w14:paraId="0000001C" w14:textId="77777777" w:rsidR="008A178D" w:rsidRDefault="008A178D">
      <w:pPr>
        <w:jc w:val="both"/>
      </w:pPr>
    </w:p>
    <w:sectPr w:rsidR="008A178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8D"/>
    <w:rsid w:val="000009DF"/>
    <w:rsid w:val="001C7F90"/>
    <w:rsid w:val="004028A0"/>
    <w:rsid w:val="004B7920"/>
    <w:rsid w:val="007B2965"/>
    <w:rsid w:val="008A17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FB05"/>
  <w15:docId w15:val="{F51FA56C-4194-43B4-8A1E-EC4DFE2E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B2965"/>
    <w:pPr>
      <w:spacing w:before="100" w:beforeAutospacing="1" w:after="100" w:afterAutospacing="1" w:line="240" w:lineRule="auto"/>
    </w:pPr>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1241</Words>
  <Characters>7076</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6</cp:revision>
  <dcterms:created xsi:type="dcterms:W3CDTF">2025-09-10T10:57:00Z</dcterms:created>
  <dcterms:modified xsi:type="dcterms:W3CDTF">2025-09-10T14:19:00Z</dcterms:modified>
</cp:coreProperties>
</file>